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outlineLvl w:val="0"/>
        <w:rPr>
          <w:rFonts w:hint="eastAsia" w:ascii="Times New Roman" w:hAnsi="Times New Roman" w:eastAsia="黑体"/>
          <w:bCs/>
          <w:sz w:val="32"/>
          <w:szCs w:val="32"/>
          <w:lang w:val="en-US" w:eastAsia="zh-CN"/>
        </w:rPr>
      </w:pPr>
      <w:bookmarkStart w:id="0" w:name="_Toc28198"/>
      <w:bookmarkStart w:id="1" w:name="_Toc4037"/>
      <w:r>
        <w:rPr>
          <w:rFonts w:ascii="Times New Roman" w:hAnsi="黑体" w:eastAsia="黑体"/>
          <w:bCs/>
          <w:sz w:val="32"/>
          <w:szCs w:val="32"/>
        </w:rPr>
        <w:t>附件</w:t>
      </w:r>
      <w:r>
        <w:rPr>
          <w:rFonts w:hint="eastAsia" w:ascii="Times New Roman" w:hAnsi="Times New Roman" w:eastAsia="黑体"/>
          <w:bCs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outlineLvl w:val="0"/>
        <w:rPr>
          <w:rFonts w:hint="eastAsia" w:ascii="Times New Roman" w:hAnsi="Times New Roman" w:eastAsia="黑体"/>
          <w:bCs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outlineLvl w:val="0"/>
        <w:rPr>
          <w:rFonts w:hint="eastAsia" w:ascii="方正大标宋_GBK" w:hAnsi="方正大标宋_GBK" w:eastAsia="方正大标宋_GBK" w:cs="方正大标宋_GBK"/>
          <w:sz w:val="44"/>
          <w:szCs w:val="44"/>
          <w:lang w:val="en-US" w:eastAsia="zh-CN"/>
        </w:rPr>
      </w:pPr>
      <w:r>
        <w:rPr>
          <w:rFonts w:hint="eastAsia" w:ascii="方正大标宋_GBK" w:hAnsi="方正大标宋_GBK" w:eastAsia="方正大标宋_GBK" w:cs="方正大标宋_GBK"/>
          <w:sz w:val="44"/>
          <w:szCs w:val="44"/>
          <w:lang w:val="en-US" w:eastAsia="zh-CN"/>
        </w:rPr>
        <w:t>桂林市人才服务信息化管理系统</w:t>
      </w:r>
      <w:bookmarkEnd w:id="0"/>
      <w:bookmarkEnd w:id="1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outlineLvl w:val="0"/>
        <w:rPr>
          <w:rFonts w:hint="eastAsia" w:ascii="方正大标宋_GBK" w:hAnsi="方正大标宋_GBK" w:eastAsia="方正大标宋_GBK" w:cs="方正大标宋_GBK"/>
          <w:sz w:val="44"/>
          <w:szCs w:val="44"/>
          <w:lang w:val="en-US" w:eastAsia="zh-CN"/>
        </w:rPr>
      </w:pPr>
      <w:bookmarkStart w:id="2" w:name="_Toc10486"/>
      <w:bookmarkStart w:id="3" w:name="_Toc24669"/>
      <w:r>
        <w:rPr>
          <w:rFonts w:hint="eastAsia" w:ascii="方正大标宋_GBK" w:hAnsi="方正大标宋_GBK" w:eastAsia="方正大标宋_GBK" w:cs="方正大标宋_GBK"/>
          <w:sz w:val="44"/>
          <w:szCs w:val="44"/>
          <w:lang w:val="en-US" w:eastAsia="zh-CN"/>
        </w:rPr>
        <w:t>用户操作手册</w:t>
      </w:r>
      <w:bookmarkEnd w:id="2"/>
      <w:bookmarkEnd w:id="3"/>
    </w:p>
    <w:p>
      <w:pPr>
        <w:rPr>
          <w:rFonts w:hint="eastAsia"/>
          <w:lang w:val="en-US" w:eastAsia="zh-CN"/>
        </w:rPr>
      </w:pPr>
    </w:p>
    <w:sdt>
      <w:sdtPr>
        <w:rPr>
          <w:rFonts w:hint="eastAsia" w:ascii="宋体" w:hAnsi="宋体" w:eastAsia="宋体" w:cs="宋体"/>
          <w:b/>
          <w:bCs/>
          <w:color w:val="auto"/>
          <w:kern w:val="2"/>
          <w:sz w:val="30"/>
          <w:szCs w:val="30"/>
          <w:lang w:val="zh-CN"/>
        </w:rPr>
        <w:id w:val="-597552088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b/>
          <w:bCs/>
          <w:color w:val="auto"/>
          <w:kern w:val="2"/>
          <w:sz w:val="21"/>
          <w:szCs w:val="24"/>
          <w:lang w:val="zh-CN"/>
        </w:rPr>
      </w:sdtEndPr>
      <w:sdtContent>
        <w:p>
          <w:pPr>
            <w:pStyle w:val="29"/>
            <w:numPr>
              <w:ilvl w:val="0"/>
              <w:numId w:val="0"/>
            </w:numPr>
            <w:ind w:leftChars="0"/>
            <w:jc w:val="center"/>
            <w:rPr>
              <w:rFonts w:hint="eastAsia" w:ascii="宋体" w:hAnsi="宋体" w:eastAsia="宋体" w:cs="宋体"/>
              <w:b/>
              <w:bCs/>
              <w:sz w:val="30"/>
              <w:szCs w:val="30"/>
            </w:rPr>
          </w:pPr>
          <w:r>
            <w:rPr>
              <w:rFonts w:hint="eastAsia" w:ascii="宋体" w:hAnsi="宋体" w:eastAsia="宋体" w:cs="宋体"/>
              <w:b/>
              <w:bCs/>
              <w:color w:val="auto"/>
              <w:sz w:val="30"/>
              <w:szCs w:val="30"/>
              <w:lang w:val="zh-CN"/>
            </w:rPr>
            <w:t>目录</w:t>
          </w:r>
        </w:p>
        <w:p>
          <w:pPr>
            <w:pStyle w:val="14"/>
            <w:tabs>
              <w:tab w:val="right" w:leader="dot" w:pos="9015"/>
            </w:tabs>
          </w:pP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TOC \o "1-3" \h \z \u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</w:p>
        <w:p>
          <w:pPr>
            <w:pStyle w:val="14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_Toc32353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/>
              <w:bCs/>
              <w:sz w:val="24"/>
              <w:szCs w:val="24"/>
            </w:rPr>
            <w:t>一、 注册登录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</w: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_Toc11528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 xml:space="preserve">1. </w:t>
          </w:r>
          <w:r>
            <w:rPr>
              <w:rFonts w:hint="eastAsia" w:ascii="宋体" w:hAnsi="宋体" w:eastAsia="宋体" w:cs="宋体"/>
              <w:sz w:val="24"/>
              <w:szCs w:val="24"/>
            </w:rPr>
            <w:t>注册</w:t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流程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_Toc11528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_Toc4844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 xml:space="preserve">2. </w:t>
          </w:r>
          <w:r>
            <w:rPr>
              <w:rFonts w:hint="eastAsia" w:ascii="宋体" w:hAnsi="宋体" w:eastAsia="宋体" w:cs="宋体"/>
              <w:sz w:val="24"/>
              <w:szCs w:val="24"/>
            </w:rPr>
            <w:t>单位注册</w:t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登陆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_Toc4844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_Toc10213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 xml:space="preserve">3. </w:t>
          </w:r>
          <w:r>
            <w:rPr>
              <w:rFonts w:hint="eastAsia" w:ascii="宋体" w:hAnsi="宋体" w:eastAsia="宋体" w:cs="宋体"/>
              <w:sz w:val="24"/>
              <w:szCs w:val="24"/>
            </w:rPr>
            <w:t>个人注册</w:t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登陆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_Toc10213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4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_Toc126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/>
              <w:bCs/>
              <w:sz w:val="24"/>
              <w:szCs w:val="24"/>
            </w:rPr>
            <w:t>二、</w:t>
          </w:r>
          <w:r>
            <w:rPr>
              <w:rFonts w:hint="eastAsia" w:ascii="宋体" w:hAnsi="宋体" w:eastAsia="宋体" w:cs="宋体"/>
              <w:sz w:val="24"/>
              <w:szCs w:val="24"/>
            </w:rPr>
            <w:t xml:space="preserve"> </w:t>
          </w:r>
          <w:r>
            <w:rPr>
              <w:rFonts w:hint="eastAsia" w:ascii="宋体" w:hAnsi="宋体" w:eastAsia="宋体" w:cs="宋体"/>
              <w:b/>
              <w:bCs/>
              <w:sz w:val="24"/>
              <w:szCs w:val="24"/>
            </w:rPr>
            <w:t>单位用户操作说明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_Toc126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_Toc11735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1. 首页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_Toc11735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_Toc18252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 账号管理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_Toc18252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_Toc411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2.1</w:t>
          </w:r>
          <w:r>
            <w:rPr>
              <w:rFonts w:hint="eastAsia" w:ascii="宋体" w:hAnsi="宋体" w:eastAsia="宋体" w:cs="宋体"/>
              <w:sz w:val="24"/>
              <w:szCs w:val="24"/>
            </w:rPr>
            <w:t>单位信息维护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_Toc411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_Toc15640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2.2</w:t>
          </w:r>
          <w:r>
            <w:rPr>
              <w:rFonts w:hint="eastAsia" w:ascii="宋体" w:hAnsi="宋体" w:eastAsia="宋体" w:cs="宋体"/>
              <w:sz w:val="24"/>
              <w:szCs w:val="24"/>
            </w:rPr>
            <w:t>账号信息设置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_Toc15640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_Toc4117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2.3单位人员</w:t>
          </w:r>
          <w:r>
            <w:rPr>
              <w:rFonts w:hint="eastAsia" w:ascii="宋体" w:hAnsi="宋体" w:eastAsia="宋体" w:cs="宋体"/>
              <w:sz w:val="24"/>
              <w:szCs w:val="24"/>
            </w:rPr>
            <w:t>账号设置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_Toc4117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_Toc30899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 业务办理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_Toc30899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_Toc1098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3.1</w:t>
          </w:r>
          <w:r>
            <w:rPr>
              <w:rFonts w:hint="eastAsia" w:ascii="宋体" w:hAnsi="宋体" w:eastAsia="宋体" w:cs="宋体"/>
              <w:sz w:val="24"/>
              <w:szCs w:val="24"/>
            </w:rPr>
            <w:t>高层次人才认定审核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_Toc1098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_Toc4767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4. 信息查询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_Toc4767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_Toc4094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4.1</w:t>
          </w:r>
          <w:r>
            <w:rPr>
              <w:rFonts w:hint="eastAsia" w:ascii="宋体" w:hAnsi="宋体" w:eastAsia="宋体" w:cs="宋体"/>
              <w:sz w:val="24"/>
              <w:szCs w:val="24"/>
            </w:rPr>
            <w:t>人才认定情况查询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_Toc4094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4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_Toc11190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b/>
              <w:bCs/>
              <w:sz w:val="24"/>
              <w:szCs w:val="24"/>
              <w:lang w:val="en-US" w:eastAsia="zh-CN"/>
            </w:rPr>
            <w:t xml:space="preserve">三、 </w:t>
          </w:r>
          <w:r>
            <w:rPr>
              <w:rFonts w:hint="eastAsia" w:ascii="宋体" w:hAnsi="宋体" w:eastAsia="宋体" w:cs="宋体"/>
              <w:b/>
              <w:bCs/>
              <w:sz w:val="24"/>
              <w:szCs w:val="24"/>
            </w:rPr>
            <w:t>个人用户操作说明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_Toc11190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_Toc13889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1. 账号管理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_Toc13889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_Toc29176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1.1</w:t>
          </w:r>
          <w:r>
            <w:rPr>
              <w:rFonts w:hint="eastAsia" w:ascii="宋体" w:hAnsi="宋体" w:eastAsia="宋体" w:cs="宋体"/>
              <w:sz w:val="24"/>
              <w:szCs w:val="24"/>
            </w:rPr>
            <w:t>个人信息维护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_Toc29176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_Toc3960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1.2</w:t>
          </w:r>
          <w:r>
            <w:rPr>
              <w:rFonts w:hint="eastAsia" w:ascii="宋体" w:hAnsi="宋体" w:eastAsia="宋体" w:cs="宋体"/>
              <w:sz w:val="24"/>
              <w:szCs w:val="24"/>
            </w:rPr>
            <w:t>账号信息设置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_Toc3960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_Toc23801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 业务办理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_Toc23801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8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1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_Toc31399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2.1</w:t>
          </w:r>
          <w:r>
            <w:rPr>
              <w:rFonts w:hint="eastAsia" w:ascii="宋体" w:hAnsi="宋体" w:eastAsia="宋体" w:cs="宋体"/>
              <w:sz w:val="24"/>
              <w:szCs w:val="24"/>
            </w:rPr>
            <w:t>高层次人才认定申报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_Toc31399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8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_Toc26238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 信息查询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_Toc26238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pStyle w:val="15"/>
            <w:keepNext w:val="0"/>
            <w:keepLines w:val="0"/>
            <w:pageBreakBefore w:val="0"/>
            <w:widowControl w:val="0"/>
            <w:tabs>
              <w:tab w:val="right" w:leader="dot" w:pos="9015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00" w:lineRule="exact"/>
            <w:ind w:firstLine="480" w:firstLineChars="200"/>
            <w:textAlignment w:val="auto"/>
          </w:pP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begin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instrText xml:space="preserve"> HYPERLINK \l _Toc3586 </w:instrText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 xml:space="preserve">3.1 </w:t>
          </w:r>
          <w:r>
            <w:rPr>
              <w:rFonts w:hint="eastAsia" w:ascii="宋体" w:hAnsi="宋体" w:eastAsia="宋体" w:cs="宋体"/>
              <w:sz w:val="24"/>
              <w:szCs w:val="24"/>
            </w:rPr>
            <w:t>人才认定情况查询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_Toc3586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bCs/>
              <w:sz w:val="24"/>
              <w:szCs w:val="24"/>
              <w:lang w:val="zh-CN"/>
            </w:rPr>
            <w:fldChar w:fldCharType="end"/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</w:pPr>
          <w:r>
            <w:rPr>
              <w:rFonts w:hint="eastAsia" w:ascii="宋体" w:hAnsi="宋体" w:eastAsia="宋体" w:cs="宋体"/>
              <w:bCs/>
              <w:szCs w:val="24"/>
              <w:lang w:val="zh-CN"/>
            </w:rPr>
            <w:fldChar w:fldCharType="end"/>
          </w:r>
        </w:p>
      </w:sdtContent>
    </w:sdt>
    <w:p>
      <w:pPr>
        <w:widowControl/>
        <w:jc w:val="left"/>
      </w:pPr>
    </w:p>
    <w:p>
      <w:pPr>
        <w:pStyle w:val="2"/>
        <w:numPr>
          <w:ilvl w:val="0"/>
          <w:numId w:val="2"/>
        </w:numPr>
        <w:rPr>
          <w:sz w:val="44"/>
          <w:szCs w:val="44"/>
        </w:rPr>
      </w:pPr>
      <w:bookmarkStart w:id="4" w:name="_Toc32353"/>
      <w:bookmarkStart w:id="5" w:name="_Toc111424672"/>
      <w:r>
        <w:rPr>
          <w:sz w:val="44"/>
          <w:szCs w:val="44"/>
        </w:rPr>
        <w:t>注册登录</w:t>
      </w:r>
      <w:bookmarkEnd w:id="4"/>
      <w:bookmarkEnd w:id="5"/>
      <w:bookmarkStart w:id="50" w:name="_GoBack"/>
      <w:bookmarkEnd w:id="50"/>
    </w:p>
    <w:p>
      <w:pPr>
        <w:jc w:val="left"/>
        <w:rPr>
          <w:rStyle w:val="20"/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trike w:val="0"/>
          <w:dstrike w:val="0"/>
          <w:color w:val="auto"/>
          <w:sz w:val="24"/>
          <w:szCs w:val="24"/>
          <w:highlight w:val="none"/>
          <w:lang w:val="en-US" w:eastAsia="zh-CN"/>
        </w:rPr>
        <w:t>桂林市人才服务信息化管理系统网址：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b/>
          <w:bCs/>
          <w:sz w:val="24"/>
          <w:szCs w:val="24"/>
        </w:rPr>
        <w:instrText xml:space="preserve"> HYPERLINK "http://www.glrc.org.cn:9001" </w:instrText>
      </w:r>
      <w:r>
        <w:rPr>
          <w:rFonts w:hint="eastAsia" w:ascii="宋体" w:hAnsi="宋体" w:eastAsia="宋体" w:cs="宋体"/>
          <w:b/>
          <w:bCs/>
          <w:sz w:val="24"/>
          <w:szCs w:val="24"/>
        </w:rPr>
        <w:fldChar w:fldCharType="separate"/>
      </w:r>
      <w:r>
        <w:rPr>
          <w:rStyle w:val="20"/>
          <w:rFonts w:hint="eastAsia" w:ascii="宋体" w:hAnsi="宋体" w:eastAsia="宋体" w:cs="宋体"/>
          <w:b/>
          <w:bCs/>
          <w:sz w:val="24"/>
          <w:szCs w:val="24"/>
        </w:rPr>
        <w:t>http://www.glrc.org.cn:9001</w:t>
      </w:r>
      <w:r>
        <w:rPr>
          <w:rStyle w:val="20"/>
          <w:rFonts w:hint="eastAsia" w:ascii="宋体" w:hAnsi="宋体" w:eastAsia="宋体" w:cs="宋体"/>
          <w:b/>
          <w:bCs/>
          <w:sz w:val="24"/>
          <w:szCs w:val="24"/>
        </w:rPr>
        <w:fldChar w:fldCharType="end"/>
      </w:r>
    </w:p>
    <w:p>
      <w:pPr>
        <w:jc w:val="left"/>
        <w:rPr>
          <w:rStyle w:val="20"/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pStyle w:val="3"/>
        <w:numPr>
          <w:ilvl w:val="0"/>
          <w:numId w:val="3"/>
        </w:numPr>
        <w:ind w:left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6" w:name="_Toc11528"/>
      <w:r>
        <w:t>注册</w:t>
      </w:r>
      <w:r>
        <w:rPr>
          <w:rFonts w:hint="eastAsia"/>
          <w:lang w:val="en-US" w:eastAsia="zh-CN"/>
        </w:rPr>
        <w:t>流程</w:t>
      </w:r>
      <w:bookmarkEnd w:id="6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完善单位资料、账户后提交                      通过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单位用户：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单位注册—————————————》城区/主管部门审核————》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通过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桂林市人才服务中心审核——————》正式使用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完善个人资料后提交              通过</w:t>
      </w:r>
    </w:p>
    <w:p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7" w:name="_Toc12284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个人用户：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个人注册———————————》单位审核————》正式使用</w:t>
      </w:r>
      <w:bookmarkEnd w:id="7"/>
    </w:p>
    <w:p>
      <w:pPr>
        <w:widowControl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widowControl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注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  <w:lang w:val="en-US" w:eastAsia="zh-CN"/>
        </w:rPr>
        <w:t>单位用户注册审核通过后，个人用户才可进行注册。</w:t>
      </w:r>
    </w:p>
    <w:p>
      <w:pPr>
        <w:rPr>
          <w:rFonts w:hint="eastAsia" w:ascii="宋体" w:hAnsi="宋体" w:eastAsia="宋体" w:cs="宋体"/>
          <w:color w:val="FF0000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69865" cy="2418080"/>
            <wp:effectExtent l="0" t="0" r="6985" b="127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432" w:leftChars="0" w:hanging="432" w:firstLineChars="0"/>
        <w:textAlignment w:val="auto"/>
        <w:rPr>
          <w:rFonts w:hint="default" w:eastAsiaTheme="majorEastAsia"/>
          <w:lang w:val="en-US" w:eastAsia="zh-CN"/>
        </w:rPr>
      </w:pPr>
      <w:bookmarkStart w:id="8" w:name="_Toc4844"/>
      <w:r>
        <w:t>单位注册</w:t>
      </w:r>
      <w:r>
        <w:rPr>
          <w:rFonts w:hint="eastAsia"/>
          <w:lang w:val="en-US" w:eastAsia="zh-CN"/>
        </w:rPr>
        <w:t>登陆</w:t>
      </w:r>
      <w:bookmarkEnd w:id="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按照注册页面要求填写账号注册信息，其中，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单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位名称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需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输入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全称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操作人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请填写单位负责人才相关工作的工作人员信息，“登陆账号”由单位自行设置填写。待完成注册信息填写后，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需按照系统要求完善单位相关资料（详见“二、单位用户操作说明——2.1”），并进行账号信息审核。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单位用户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登陆可</w:t>
      </w:r>
      <w:r>
        <w:rPr>
          <w:rFonts w:hint="eastAsia" w:ascii="宋体" w:hAnsi="宋体" w:eastAsia="宋体" w:cs="宋体"/>
          <w:sz w:val="24"/>
          <w:szCs w:val="24"/>
        </w:rPr>
        <w:t>使用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登陆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账号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+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密码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方式</w:t>
      </w:r>
      <w:r>
        <w:rPr>
          <w:rFonts w:hint="eastAsia" w:ascii="宋体" w:hAnsi="宋体" w:eastAsia="宋体" w:cs="宋体"/>
          <w:sz w:val="24"/>
          <w:szCs w:val="24"/>
        </w:rPr>
        <w:t>登录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（单位用户目前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暂未开通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手机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号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验证登录）。</w:t>
      </w:r>
    </w:p>
    <w:p>
      <w:pPr>
        <w:pStyle w:val="3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432" w:leftChars="0" w:hanging="432" w:firstLineChars="0"/>
        <w:textAlignment w:val="auto"/>
        <w:rPr>
          <w:rFonts w:hint="eastAsia" w:eastAsiaTheme="majorEastAsia"/>
          <w:lang w:val="en-US" w:eastAsia="zh-CN"/>
        </w:rPr>
      </w:pPr>
      <w:bookmarkStart w:id="9" w:name="_Toc10213"/>
      <w:r>
        <w:rPr>
          <w:rFonts w:hint="eastAsia"/>
        </w:rPr>
        <w:t>个人注册</w:t>
      </w:r>
      <w:r>
        <w:rPr>
          <w:rFonts w:hint="eastAsia"/>
          <w:lang w:val="en-US" w:eastAsia="zh-CN"/>
        </w:rPr>
        <w:t>登陆</w:t>
      </w:r>
      <w:bookmarkEnd w:id="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按照注册页面要求填写账号注册信息，</w:t>
      </w:r>
      <w:r>
        <w:rPr>
          <w:rFonts w:hint="eastAsia"/>
          <w:sz w:val="24"/>
          <w:szCs w:val="24"/>
          <w:lang w:val="en-US" w:eastAsia="zh-CN"/>
        </w:rPr>
        <w:t>其中，“本人手机号”即为个人用户的登陆账号，填写时请确认号码</w:t>
      </w:r>
      <w:r>
        <w:rPr>
          <w:rFonts w:hint="eastAsia" w:ascii="宋体" w:hAnsi="宋体" w:eastAsia="宋体" w:cs="宋体"/>
          <w:sz w:val="24"/>
          <w:szCs w:val="24"/>
        </w:rPr>
        <w:t>是否准确无误</w:t>
      </w:r>
      <w:r>
        <w:rPr>
          <w:rFonts w:hint="eastAsia"/>
          <w:sz w:val="24"/>
          <w:szCs w:val="24"/>
          <w:lang w:val="en-US" w:eastAsia="zh-CN"/>
        </w:rPr>
        <w:t>。待完成</w:t>
      </w:r>
      <w:r>
        <w:rPr>
          <w:rFonts w:hint="eastAsia"/>
          <w:sz w:val="24"/>
          <w:szCs w:val="24"/>
        </w:rPr>
        <w:t>注册页面</w:t>
      </w:r>
      <w:r>
        <w:rPr>
          <w:rFonts w:hint="eastAsia"/>
          <w:sz w:val="24"/>
          <w:szCs w:val="24"/>
          <w:lang w:val="en-US" w:eastAsia="zh-CN"/>
        </w:rPr>
        <w:t>后，</w:t>
      </w:r>
      <w:r>
        <w:rPr>
          <w:rFonts w:hint="eastAsia"/>
          <w:sz w:val="24"/>
          <w:szCs w:val="24"/>
        </w:rPr>
        <w:t>首次登录时需完善个人信息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（详见“三、个人用户操作说明——1.1”），</w:t>
      </w:r>
      <w:r>
        <w:rPr>
          <w:rFonts w:hint="eastAsia"/>
          <w:sz w:val="24"/>
          <w:szCs w:val="24"/>
        </w:rPr>
        <w:t>并</w:t>
      </w:r>
      <w:r>
        <w:rPr>
          <w:rFonts w:hint="eastAsia"/>
          <w:b/>
          <w:bCs/>
          <w:sz w:val="24"/>
          <w:szCs w:val="24"/>
        </w:rPr>
        <w:t>提交单位审核</w:t>
      </w:r>
      <w:r>
        <w:rPr>
          <w:rFonts w:hint="eastAsia"/>
          <w:sz w:val="24"/>
          <w:szCs w:val="24"/>
        </w:rPr>
        <w:t>后才能正式使用。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个人</w:t>
      </w:r>
      <w:r>
        <w:rPr>
          <w:rFonts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登陆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</w:t>
      </w:r>
      <w:r>
        <w:rPr>
          <w:rFonts w:asciiTheme="minorEastAsia" w:hAnsiTheme="minorEastAsia"/>
          <w:sz w:val="24"/>
          <w:szCs w:val="24"/>
        </w:rPr>
        <w:t>使用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登陆</w:t>
      </w:r>
      <w:r>
        <w:rPr>
          <w:rFonts w:asciiTheme="minorEastAsia" w:hAnsiTheme="minorEastAsia"/>
          <w:b/>
          <w:bCs/>
          <w:sz w:val="24"/>
          <w:szCs w:val="24"/>
        </w:rPr>
        <w:t>账号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绑定手机号码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+</w:t>
      </w:r>
      <w:r>
        <w:rPr>
          <w:rFonts w:asciiTheme="minorEastAsia" w:hAnsiTheme="minorEastAsia"/>
          <w:b/>
          <w:bCs/>
          <w:sz w:val="24"/>
          <w:szCs w:val="24"/>
        </w:rPr>
        <w:t>密码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或“绑定手机号+验证码”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两种方式进行</w:t>
      </w:r>
      <w:r>
        <w:rPr>
          <w:rFonts w:asciiTheme="minorEastAsia" w:hAnsiTheme="minorEastAsia"/>
          <w:sz w:val="24"/>
          <w:szCs w:val="24"/>
        </w:rPr>
        <w:t>登录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>
      <w:pPr>
        <w:pStyle w:val="2"/>
        <w:numPr>
          <w:ilvl w:val="0"/>
          <w:numId w:val="2"/>
        </w:numPr>
      </w:pPr>
      <w:bookmarkStart w:id="10" w:name="_Toc111424673"/>
      <w:bookmarkStart w:id="11" w:name="_Toc126"/>
      <w:r>
        <w:rPr>
          <w:rFonts w:hint="eastAsia"/>
        </w:rPr>
        <w:t>单位用户</w:t>
      </w:r>
      <w:bookmarkEnd w:id="10"/>
      <w:r>
        <w:rPr>
          <w:rFonts w:hint="eastAsia"/>
        </w:rPr>
        <w:t>操作说明</w:t>
      </w:r>
      <w:bookmarkEnd w:id="11"/>
    </w:p>
    <w:p>
      <w:pPr>
        <w:pStyle w:val="22"/>
        <w:keepNext/>
        <w:keepLines/>
        <w:numPr>
          <w:ilvl w:val="0"/>
          <w:numId w:val="1"/>
        </w:numPr>
        <w:spacing w:before="340" w:after="330" w:line="578" w:lineRule="auto"/>
        <w:ind w:firstLineChars="0"/>
        <w:outlineLvl w:val="0"/>
        <w:rPr>
          <w:b/>
          <w:bCs/>
          <w:vanish/>
          <w:kern w:val="44"/>
          <w:sz w:val="44"/>
          <w:szCs w:val="44"/>
        </w:rPr>
      </w:pPr>
      <w:bookmarkStart w:id="12" w:name="_Toc111429811"/>
      <w:bookmarkEnd w:id="12"/>
      <w:bookmarkStart w:id="13" w:name="_Toc111430045"/>
      <w:bookmarkEnd w:id="13"/>
      <w:bookmarkStart w:id="14" w:name="_Toc111438362"/>
      <w:bookmarkEnd w:id="14"/>
      <w:bookmarkStart w:id="15" w:name="_Toc111429194"/>
      <w:bookmarkEnd w:id="15"/>
      <w:bookmarkStart w:id="16" w:name="_Toc111426311"/>
      <w:bookmarkEnd w:id="16"/>
      <w:bookmarkStart w:id="17" w:name="_Toc111425708"/>
      <w:bookmarkEnd w:id="17"/>
      <w:bookmarkStart w:id="18" w:name="_Toc111425832"/>
      <w:bookmarkEnd w:id="18"/>
      <w:bookmarkStart w:id="19" w:name="_Toc111438338"/>
      <w:bookmarkEnd w:id="19"/>
      <w:bookmarkStart w:id="20" w:name="_Toc111424674"/>
    </w:p>
    <w:p>
      <w:pPr>
        <w:pStyle w:val="3"/>
        <w:numPr>
          <w:ilvl w:val="0"/>
          <w:numId w:val="4"/>
        </w:numPr>
        <w:ind w:leftChars="0"/>
      </w:pPr>
      <w:bookmarkStart w:id="21" w:name="_Toc11735"/>
      <w:r>
        <w:rPr>
          <w:rFonts w:hint="eastAsia"/>
        </w:rPr>
        <w:t>首页</w:t>
      </w:r>
      <w:bookmarkEnd w:id="20"/>
      <w:bookmarkEnd w:id="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新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注册的单位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用户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，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首次登陆后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请先完善单位信息和单位账户信息（主要是操作员姓名、手机号码），然后提交审核，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待审核通过后，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方可使用相关人才功能服务。</w:t>
      </w:r>
    </w:p>
    <w:p>
      <w:pPr>
        <w:rPr>
          <w:rFonts w:hint="eastAsia" w:ascii="宋体" w:hAnsi="宋体" w:eastAsia="宋体" w:cs="宋体"/>
          <w:color w:val="auto"/>
          <w:sz w:val="24"/>
          <w:szCs w:val="24"/>
        </w:rPr>
      </w:pPr>
      <w:r>
        <w:drawing>
          <wp:inline distT="0" distB="0" distL="0" distR="0">
            <wp:extent cx="5880100" cy="3134360"/>
            <wp:effectExtent l="0" t="0" r="635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010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4"/>
        </w:numPr>
        <w:ind w:left="432" w:leftChars="0" w:hanging="432" w:firstLineChars="0"/>
      </w:pPr>
      <w:bookmarkStart w:id="22" w:name="_Toc111424675"/>
      <w:bookmarkStart w:id="23" w:name="_Toc18252"/>
      <w:r>
        <w:rPr>
          <w:rFonts w:hint="eastAsia"/>
        </w:rPr>
        <w:t>账号管理</w:t>
      </w:r>
      <w:bookmarkEnd w:id="22"/>
      <w:bookmarkEnd w:id="23"/>
    </w:p>
    <w:p>
      <w:pPr>
        <w:pStyle w:val="4"/>
        <w:numPr>
          <w:ilvl w:val="2"/>
          <w:numId w:val="0"/>
        </w:numPr>
        <w:ind w:leftChars="0"/>
      </w:pPr>
      <w:bookmarkStart w:id="24" w:name="_Toc411"/>
      <w:bookmarkStart w:id="25" w:name="_Toc111424676"/>
      <w:r>
        <w:rPr>
          <w:rFonts w:hint="eastAsia"/>
          <w:lang w:val="en-US" w:eastAsia="zh-CN"/>
        </w:rPr>
        <w:t>2.1</w:t>
      </w:r>
      <w:r>
        <w:rPr>
          <w:rFonts w:hint="eastAsia"/>
        </w:rPr>
        <w:t>单位信息维护</w:t>
      </w:r>
      <w:bookmarkEnd w:id="24"/>
      <w:bookmarkEnd w:id="2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请按照页面要求</w:t>
      </w:r>
      <w:r>
        <w:rPr>
          <w:rFonts w:hint="eastAsia" w:ascii="宋体" w:hAnsi="宋体" w:eastAsia="宋体" w:cs="宋体"/>
          <w:sz w:val="24"/>
          <w:szCs w:val="24"/>
        </w:rPr>
        <w:t>填写单位信息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填写</w:t>
      </w:r>
      <w:r>
        <w:rPr>
          <w:rFonts w:hint="eastAsia" w:ascii="宋体" w:hAnsi="宋体" w:eastAsia="宋体" w:cs="宋体"/>
          <w:sz w:val="24"/>
          <w:szCs w:val="24"/>
        </w:rPr>
        <w:t>时请注意核对必填项是否准确无误，再提交审核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提交审核前需上传营业执照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单位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分配管理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填写说明如下：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企业、中区直事业单位选择“城区”；</w:t>
      </w: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default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市直机关事业单位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选择“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</w:rPr>
        <w:t>主管部门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单位审核归属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填写说明如下：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b w:val="0"/>
          <w:bCs w:val="0"/>
          <w:color w:val="auto"/>
          <w:sz w:val="24"/>
          <w:szCs w:val="24"/>
          <w:lang w:val="en-US" w:eastAsia="zh-CN"/>
        </w:rPr>
        <w:t>企业、中区直事业单位选择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单位纳税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所属“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县区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”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市直机关事业单位选择本单位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所属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主管部门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”。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</w:pPr>
    </w:p>
    <w:p>
      <w:r>
        <w:drawing>
          <wp:inline distT="0" distB="0" distL="114300" distR="114300">
            <wp:extent cx="5718810" cy="3022600"/>
            <wp:effectExtent l="0" t="0" r="15240" b="635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881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4"/>
        <w:numPr>
          <w:ilvl w:val="2"/>
          <w:numId w:val="0"/>
        </w:numPr>
        <w:ind w:leftChars="0"/>
      </w:pPr>
      <w:bookmarkStart w:id="26" w:name="_Toc15640"/>
      <w:bookmarkStart w:id="27" w:name="_Toc111424677"/>
      <w:r>
        <w:rPr>
          <w:rFonts w:hint="eastAsia"/>
          <w:lang w:val="en-US" w:eastAsia="zh-CN"/>
        </w:rPr>
        <w:t>2.2</w:t>
      </w:r>
      <w:r>
        <w:rPr>
          <w:rFonts w:hint="eastAsia"/>
        </w:rPr>
        <w:t>账号信息设置</w:t>
      </w:r>
      <w:bookmarkEnd w:id="26"/>
      <w:bookmarkEnd w:id="2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单位用户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可在此功能页面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进行用户</w:t>
      </w:r>
      <w:r>
        <w:rPr>
          <w:rFonts w:hint="eastAsia" w:ascii="宋体" w:hAnsi="宋体" w:eastAsia="宋体" w:cs="宋体"/>
          <w:sz w:val="24"/>
          <w:szCs w:val="24"/>
        </w:rPr>
        <w:t>头像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</w:rPr>
        <w:t>操作员姓名、账户名和登录密码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等相关信息的修改工作，</w:t>
      </w:r>
      <w:r>
        <w:rPr>
          <w:rFonts w:hint="eastAsia" w:ascii="宋体" w:hAnsi="宋体" w:eastAsia="宋体" w:cs="宋体"/>
          <w:sz w:val="24"/>
          <w:szCs w:val="24"/>
        </w:rPr>
        <w:t>修改后需重新登录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方可进行使用。</w:t>
      </w:r>
    </w:p>
    <w:p>
      <w:r>
        <w:drawing>
          <wp:inline distT="0" distB="0" distL="0" distR="0">
            <wp:extent cx="5273675" cy="2105660"/>
            <wp:effectExtent l="0" t="0" r="317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3" b="10439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8" w:name="_Toc111424678"/>
    </w:p>
    <w:p/>
    <w:p>
      <w:pPr>
        <w:pStyle w:val="4"/>
        <w:numPr>
          <w:ilvl w:val="2"/>
          <w:numId w:val="0"/>
        </w:numPr>
        <w:ind w:leftChars="0"/>
      </w:pPr>
      <w:bookmarkStart w:id="29" w:name="_Toc4117"/>
      <w:r>
        <w:rPr>
          <w:rFonts w:hint="eastAsia"/>
          <w:lang w:val="en-US" w:eastAsia="zh-CN"/>
        </w:rPr>
        <w:t>2.3单位人员</w:t>
      </w:r>
      <w:r>
        <w:rPr>
          <w:rFonts w:hint="eastAsia"/>
        </w:rPr>
        <w:t>账号设置</w:t>
      </w:r>
      <w:bookmarkEnd w:id="29"/>
    </w:p>
    <w:bookmarkEnd w:id="28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outlineLvl w:val="3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2.3.1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、审核本单位人员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注册信息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 xml:space="preserve">   单位用户操作员可在此功能页面审核本单位注册人才账号信息，完成审核后，人才用户账号才可正常使用。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outlineLvl w:val="3"/>
        <w:rPr>
          <w:rFonts w:hint="default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2.3.2、创建单位人员账号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点击“新增单位人员”，可为本单位人才创建人员账号。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="479" w:leftChars="228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由单位创建的人员账号无需审核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</w:rPr>
        <w:t>账号默认为绑定手机号，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初始密码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请联系市人才服务中心工作人员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="479" w:leftChars="228" w:firstLine="0" w:firstLineChars="0"/>
        <w:textAlignment w:val="auto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注：创建人才个人账号后，请及时登陆个人用户后台修改密码。</w:t>
      </w:r>
    </w:p>
    <w:p>
      <w:r>
        <w:drawing>
          <wp:inline distT="0" distB="0" distL="0" distR="0">
            <wp:extent cx="5274310" cy="977265"/>
            <wp:effectExtent l="0" t="0" r="2540" b="133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1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82308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6" b="154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4"/>
        </w:numPr>
        <w:ind w:left="432" w:leftChars="0" w:hanging="432" w:firstLineChars="0"/>
      </w:pPr>
      <w:bookmarkStart w:id="30" w:name="_Toc30899"/>
      <w:bookmarkStart w:id="31" w:name="_Toc111424679"/>
      <w:r>
        <w:rPr>
          <w:rFonts w:hint="eastAsia"/>
        </w:rPr>
        <w:t>业务办理</w:t>
      </w:r>
      <w:bookmarkEnd w:id="30"/>
      <w:bookmarkEnd w:id="31"/>
    </w:p>
    <w:p>
      <w:pPr>
        <w:pStyle w:val="4"/>
        <w:numPr>
          <w:ilvl w:val="2"/>
          <w:numId w:val="0"/>
        </w:numPr>
        <w:ind w:leftChars="0"/>
        <w:rPr>
          <w:rFonts w:hint="eastAsia"/>
        </w:rPr>
      </w:pPr>
      <w:bookmarkStart w:id="32" w:name="_Toc1098"/>
      <w:bookmarkStart w:id="33" w:name="_Toc111424680"/>
      <w:r>
        <w:rPr>
          <w:rFonts w:hint="eastAsia"/>
          <w:lang w:val="en-US" w:eastAsia="zh-CN"/>
        </w:rPr>
        <w:t>3.1</w:t>
      </w:r>
      <w:r>
        <w:rPr>
          <w:rFonts w:hint="eastAsia"/>
        </w:rPr>
        <w:t>高层次人才认定审核</w:t>
      </w:r>
      <w:bookmarkEnd w:id="32"/>
      <w:bookmarkEnd w:id="33"/>
    </w:p>
    <w:p>
      <w:pPr>
        <w:ind w:firstLine="480" w:firstLineChars="200"/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审核单位需在此功能页面点击“操作”——“审核”，对人才申报信息进行审核。</w:t>
      </w:r>
    </w:p>
    <w:p>
      <w:pPr>
        <w:jc w:val="left"/>
      </w:pPr>
      <w:r>
        <w:drawing>
          <wp:inline distT="0" distB="0" distL="114300" distR="114300">
            <wp:extent cx="5716270" cy="1501140"/>
            <wp:effectExtent l="0" t="0" r="17780" b="381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627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numPr>
          <w:ilvl w:val="0"/>
          <w:numId w:val="4"/>
        </w:numPr>
        <w:ind w:left="432" w:leftChars="0" w:hanging="432" w:firstLineChars="0"/>
      </w:pPr>
      <w:bookmarkStart w:id="34" w:name="_Toc111424681"/>
      <w:bookmarkStart w:id="35" w:name="_Toc4767"/>
      <w:r>
        <w:rPr>
          <w:rFonts w:hint="eastAsia"/>
        </w:rPr>
        <w:t>信息查询</w:t>
      </w:r>
      <w:bookmarkEnd w:id="34"/>
      <w:bookmarkEnd w:id="35"/>
    </w:p>
    <w:p>
      <w:pPr>
        <w:pStyle w:val="4"/>
        <w:numPr>
          <w:ilvl w:val="2"/>
          <w:numId w:val="0"/>
        </w:numPr>
        <w:ind w:leftChars="0"/>
      </w:pPr>
      <w:bookmarkStart w:id="36" w:name="_Toc111424682"/>
      <w:bookmarkStart w:id="37" w:name="_Toc4094"/>
      <w:r>
        <w:rPr>
          <w:rFonts w:hint="eastAsia"/>
          <w:lang w:val="en-US" w:eastAsia="zh-CN"/>
        </w:rPr>
        <w:t>4.1</w:t>
      </w:r>
      <w:r>
        <w:rPr>
          <w:rFonts w:hint="eastAsia"/>
        </w:rPr>
        <w:t>人才认定情况查询</w:t>
      </w:r>
      <w:bookmarkEnd w:id="36"/>
      <w:bookmarkEnd w:id="37"/>
    </w:p>
    <w:p>
      <w:pPr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人才认定申报</w:t>
      </w:r>
      <w:r>
        <w:rPr>
          <w:rFonts w:hint="eastAsia" w:ascii="宋体" w:hAnsi="宋体" w:eastAsia="宋体" w:cs="宋体"/>
          <w:sz w:val="24"/>
          <w:szCs w:val="24"/>
        </w:rPr>
        <w:t>流程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结束后，点击页面“操作”——“审核结果”可查看人才认定审核</w:t>
      </w:r>
      <w:r>
        <w:rPr>
          <w:rFonts w:hint="eastAsia" w:ascii="宋体" w:hAnsi="宋体" w:eastAsia="宋体" w:cs="宋体"/>
          <w:sz w:val="24"/>
          <w:szCs w:val="24"/>
        </w:rPr>
        <w:t>结果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信息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/>
    <w:p>
      <w:r>
        <w:drawing>
          <wp:inline distT="0" distB="0" distL="114300" distR="114300">
            <wp:extent cx="5713730" cy="1330325"/>
            <wp:effectExtent l="0" t="0" r="1270" b="317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3730" cy="133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keepNext/>
        <w:keepLines/>
        <w:numPr>
          <w:ilvl w:val="0"/>
          <w:numId w:val="1"/>
        </w:numPr>
        <w:spacing w:before="340" w:after="330" w:line="578" w:lineRule="auto"/>
        <w:ind w:firstLineChars="0"/>
        <w:outlineLvl w:val="0"/>
        <w:rPr>
          <w:b/>
          <w:bCs/>
          <w:vanish/>
          <w:kern w:val="44"/>
          <w:sz w:val="44"/>
          <w:szCs w:val="44"/>
        </w:rPr>
      </w:pPr>
      <w:bookmarkStart w:id="38" w:name="_Toc111430056"/>
      <w:bookmarkEnd w:id="38"/>
      <w:bookmarkStart w:id="39" w:name="_Toc111438349"/>
      <w:bookmarkEnd w:id="39"/>
      <w:bookmarkStart w:id="40" w:name="_Toc111429822"/>
      <w:bookmarkEnd w:id="40"/>
      <w:bookmarkStart w:id="41" w:name="_Toc111429205"/>
      <w:bookmarkEnd w:id="41"/>
      <w:bookmarkStart w:id="42" w:name="_Toc111438373"/>
      <w:bookmarkEnd w:id="42"/>
    </w:p>
    <w:p>
      <w:pPr>
        <w:pStyle w:val="2"/>
        <w:numPr>
          <w:ilvl w:val="0"/>
          <w:numId w:val="2"/>
        </w:numPr>
        <w:rPr>
          <w:rFonts w:hint="eastAsia"/>
          <w:lang w:val="en-US" w:eastAsia="zh-CN"/>
        </w:rPr>
      </w:pPr>
      <w:bookmarkStart w:id="43" w:name="_Toc11190"/>
      <w:r>
        <w:rPr>
          <w:rFonts w:hint="eastAsia"/>
        </w:rPr>
        <w:t>个人用户操作说明</w:t>
      </w:r>
      <w:bookmarkEnd w:id="43"/>
    </w:p>
    <w:p>
      <w:pPr>
        <w:pStyle w:val="3"/>
        <w:numPr>
          <w:ilvl w:val="0"/>
          <w:numId w:val="6"/>
        </w:numPr>
        <w:ind w:leftChars="0"/>
      </w:pPr>
      <w:bookmarkStart w:id="44" w:name="_Toc13889"/>
      <w:r>
        <w:t>账号管理</w:t>
      </w:r>
      <w:bookmarkEnd w:id="44"/>
    </w:p>
    <w:p>
      <w:pPr>
        <w:pStyle w:val="4"/>
        <w:numPr>
          <w:ilvl w:val="2"/>
          <w:numId w:val="0"/>
        </w:numPr>
        <w:ind w:leftChars="0"/>
      </w:pPr>
      <w:bookmarkStart w:id="45" w:name="_Toc29176"/>
      <w:r>
        <w:rPr>
          <w:rFonts w:hint="eastAsia"/>
          <w:lang w:val="en-US" w:eastAsia="zh-CN"/>
        </w:rPr>
        <w:t>1.1</w:t>
      </w:r>
      <w:r>
        <w:t>个人信息维护</w:t>
      </w:r>
      <w:bookmarkEnd w:id="4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</w:pP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个人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注册账号首次登录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时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，需先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在此页面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完善个人信息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并提交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单位审核。审核后可对部分基本信息进行修改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注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</w:rPr>
        <w:t>申报人才认定业务时会默认调取个人信息，请谨慎修改</w:t>
      </w:r>
      <w:r>
        <w:rPr>
          <w:rFonts w:hint="eastAsia" w:ascii="宋体" w:hAnsi="宋体" w:eastAsia="宋体" w:cs="宋体"/>
          <w:color w:val="auto"/>
          <w:sz w:val="24"/>
          <w:szCs w:val="24"/>
          <w:lang w:eastAsia="zh-CN"/>
        </w:rPr>
        <w:t>。）</w:t>
      </w:r>
    </w:p>
    <w:p>
      <w:pPr>
        <w:jc w:val="center"/>
      </w:pPr>
      <w:r>
        <w:drawing>
          <wp:inline distT="0" distB="0" distL="114300" distR="114300">
            <wp:extent cx="5205730" cy="2200275"/>
            <wp:effectExtent l="0" t="0" r="1397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r="1166"/>
                    <a:stretch>
                      <a:fillRect/>
                    </a:stretch>
                  </pic:blipFill>
                  <pic:spPr>
                    <a:xfrm>
                      <a:off x="0" y="0"/>
                      <a:ext cx="520573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2"/>
          <w:numId w:val="0"/>
        </w:numPr>
        <w:ind w:leftChars="0"/>
      </w:pPr>
      <w:bookmarkStart w:id="46" w:name="_Toc3960"/>
      <w:r>
        <w:rPr>
          <w:rFonts w:hint="eastAsia"/>
          <w:lang w:val="en-US" w:eastAsia="zh-CN"/>
        </w:rPr>
        <w:t>1.2</w:t>
      </w:r>
      <w:r>
        <w:t>账号信息设置</w:t>
      </w:r>
      <w:bookmarkEnd w:id="4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个人用户</w:t>
      </w:r>
      <w: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  <w:t>可在此功能页面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进行用户</w:t>
      </w:r>
      <w:r>
        <w:rPr>
          <w:rFonts w:hint="eastAsia" w:ascii="宋体" w:hAnsi="宋体" w:eastAsia="宋体" w:cs="宋体"/>
          <w:sz w:val="24"/>
          <w:szCs w:val="24"/>
        </w:rPr>
        <w:t>头像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账户名</w:t>
      </w:r>
      <w:r>
        <w:rPr>
          <w:rFonts w:hint="eastAsia" w:ascii="宋体" w:hAnsi="宋体" w:eastAsia="宋体" w:cs="宋体"/>
          <w:sz w:val="24"/>
          <w:szCs w:val="24"/>
        </w:rPr>
        <w:t>和登录密码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等相关信息的修改工作，</w:t>
      </w:r>
      <w:r>
        <w:rPr>
          <w:rFonts w:hint="eastAsia" w:ascii="宋体" w:hAnsi="宋体" w:eastAsia="宋体" w:cs="宋体"/>
          <w:sz w:val="24"/>
          <w:szCs w:val="24"/>
        </w:rPr>
        <w:t>修改后需重新登录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方可进行使用。</w:t>
      </w:r>
    </w:p>
    <w:p>
      <w:pPr>
        <w:jc w:val="center"/>
        <w:rPr>
          <w:rFonts w:hint="eastAsia"/>
        </w:rPr>
      </w:pPr>
      <w:r>
        <w:drawing>
          <wp:inline distT="0" distB="0" distL="114300" distR="114300">
            <wp:extent cx="3811905" cy="2302510"/>
            <wp:effectExtent l="0" t="0" r="17145" b="254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rcRect t="1285" b="5398"/>
                    <a:stretch>
                      <a:fillRect/>
                    </a:stretch>
                  </pic:blipFill>
                  <pic:spPr>
                    <a:xfrm>
                      <a:off x="0" y="0"/>
                      <a:ext cx="381190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6"/>
        </w:numPr>
        <w:ind w:left="432" w:leftChars="0" w:hanging="432" w:firstLineChars="0"/>
      </w:pPr>
      <w:bookmarkStart w:id="47" w:name="_Toc23801"/>
      <w:r>
        <w:t>业务办理</w:t>
      </w:r>
      <w:bookmarkEnd w:id="47"/>
    </w:p>
    <w:p>
      <w:pPr>
        <w:pStyle w:val="4"/>
        <w:numPr>
          <w:ilvl w:val="2"/>
          <w:numId w:val="0"/>
        </w:numPr>
        <w:ind w:leftChars="0"/>
      </w:pPr>
      <w:bookmarkStart w:id="48" w:name="_Toc31399"/>
      <w:r>
        <w:rPr>
          <w:rFonts w:hint="eastAsia"/>
          <w:lang w:val="en-US" w:eastAsia="zh-CN"/>
        </w:rPr>
        <w:t>2.1</w:t>
      </w:r>
      <w:r>
        <w:t>高层次人才认定申报</w:t>
      </w:r>
      <w:bookmarkEnd w:id="4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点击页面上的“新增”按钮，即可发起人才认定申报。</w:t>
      </w:r>
    </w:p>
    <w:p/>
    <w:p>
      <w:r>
        <w:drawing>
          <wp:inline distT="0" distB="0" distL="114300" distR="114300">
            <wp:extent cx="5723255" cy="1219200"/>
            <wp:effectExtent l="0" t="0" r="10795" b="0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ind w:firstLine="480" w:firstLineChars="200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填写</w:t>
      </w:r>
      <w:r>
        <w:rPr>
          <w:rFonts w:hint="eastAsia" w:ascii="宋体" w:hAnsi="宋体" w:eastAsia="宋体" w:cs="宋体"/>
          <w:sz w:val="24"/>
          <w:szCs w:val="24"/>
        </w:rPr>
        <w:t>文字过多无法完全显示时，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点击文本框</w:t>
      </w:r>
      <w:r>
        <w:rPr>
          <w:rFonts w:hint="eastAsia" w:ascii="宋体" w:hAnsi="宋体" w:eastAsia="宋体" w:cs="宋体"/>
          <w:sz w:val="24"/>
          <w:szCs w:val="24"/>
        </w:rPr>
        <w:t>右下角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箭头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标识，</w:t>
      </w:r>
      <w:r>
        <w:rPr>
          <w:rFonts w:hint="eastAsia" w:ascii="宋体" w:hAnsi="宋体" w:eastAsia="宋体" w:cs="宋体"/>
          <w:sz w:val="24"/>
          <w:szCs w:val="24"/>
        </w:rPr>
        <w:t>用鼠标点击拖动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文本框</w:t>
      </w:r>
      <w:r>
        <w:rPr>
          <w:rFonts w:hint="eastAsia" w:ascii="宋体" w:hAnsi="宋体" w:eastAsia="宋体" w:cs="宋体"/>
          <w:sz w:val="24"/>
          <w:szCs w:val="24"/>
        </w:rPr>
        <w:t>即可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5719445" cy="962025"/>
            <wp:effectExtent l="0" t="0" r="14605" b="9525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填报时请核对必填项目是否准确无误。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填写完成后，点击页面右下角“保存”按钮，完成申报信息填报。然后在“操作”——“附件”上传申报相关佐证材料，最后点击“操作”——“提交”，完成人才申报信息提交。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24525" cy="647700"/>
            <wp:effectExtent l="0" t="0" r="9525" b="0"/>
            <wp:docPr id="33" name="图片 33" descr="1665309277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6530927727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0" distR="0">
            <wp:extent cx="5274310" cy="1663065"/>
            <wp:effectExtent l="0" t="0" r="2540" b="133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textAlignment w:val="auto"/>
        <w:rPr>
          <w:rFonts w:hint="eastAsia"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</w:rPr>
        <w:t>注意：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附件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佐证材料如属于有涉密、不适宜在网络传输等情况的，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无需上传相关材料，可通过线下方式提交纸质版材料（如有其他特殊情况请与市人才服务中心工作人员联系）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。</w:t>
      </w:r>
    </w:p>
    <w:p>
      <w:pPr>
        <w:pStyle w:val="3"/>
        <w:numPr>
          <w:ilvl w:val="0"/>
          <w:numId w:val="6"/>
        </w:numPr>
        <w:ind w:left="432" w:leftChars="0" w:hanging="432" w:firstLineChars="0"/>
      </w:pPr>
      <w:bookmarkStart w:id="49" w:name="_Toc3586"/>
      <w:r>
        <w:rPr>
          <w:rFonts w:hint="eastAsia"/>
          <w:lang w:val="en-US" w:eastAsia="zh-CN"/>
        </w:rPr>
        <w:t>信息查询</w:t>
      </w:r>
    </w:p>
    <w:p>
      <w:pPr>
        <w:pStyle w:val="4"/>
        <w:numPr>
          <w:ilvl w:val="2"/>
          <w:numId w:val="0"/>
        </w:numPr>
        <w:ind w:leftChars="0"/>
      </w:pPr>
      <w:r>
        <w:rPr>
          <w:rFonts w:hint="eastAsia"/>
          <w:lang w:val="en-US" w:eastAsia="zh-CN"/>
        </w:rPr>
        <w:t>3.1</w:t>
      </w:r>
      <w:r>
        <w:t>人才认定情况查询</w:t>
      </w:r>
    </w:p>
    <w:p/>
    <w:bookmarkEnd w:id="49"/>
    <w:p>
      <w:pPr>
        <w:ind w:firstLine="480" w:firstLineChars="200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人才认定申报</w:t>
      </w:r>
      <w:r>
        <w:rPr>
          <w:rFonts w:hint="eastAsia" w:ascii="宋体" w:hAnsi="宋体" w:eastAsia="宋体" w:cs="宋体"/>
          <w:sz w:val="24"/>
          <w:szCs w:val="24"/>
        </w:rPr>
        <w:t>流程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结束后，点击页面“操作”——“审核结果”可查看人才认定审核</w:t>
      </w:r>
      <w:r>
        <w:rPr>
          <w:rFonts w:hint="eastAsia" w:ascii="宋体" w:hAnsi="宋体" w:eastAsia="宋体" w:cs="宋体"/>
          <w:sz w:val="24"/>
          <w:szCs w:val="24"/>
        </w:rPr>
        <w:t>结果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信息</w:t>
      </w:r>
      <w:r>
        <w:rPr>
          <w:rFonts w:hint="eastAsia" w:ascii="宋体" w:hAnsi="宋体" w:eastAsia="宋体" w:cs="宋体"/>
          <w:sz w:val="24"/>
          <w:szCs w:val="24"/>
        </w:rPr>
        <w:t>。</w:t>
      </w:r>
    </w:p>
    <w:p/>
    <w:p>
      <w:r>
        <w:drawing>
          <wp:inline distT="0" distB="0" distL="114300" distR="114300">
            <wp:extent cx="5713730" cy="1120775"/>
            <wp:effectExtent l="0" t="0" r="1270" b="3175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rcRect b="15752"/>
                    <a:stretch>
                      <a:fillRect/>
                    </a:stretch>
                  </pic:blipFill>
                  <pic:spPr>
                    <a:xfrm>
                      <a:off x="0" y="0"/>
                      <a:ext cx="5713730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footerReference r:id="rId3" w:type="default"/>
      <w:pgSz w:w="11906" w:h="16838"/>
      <w:pgMar w:top="2098" w:right="1304" w:bottom="1304" w:left="1587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方正大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2"/>
                          </w:pPr>
                          <w:r>
                            <w:t xml:space="preserve">—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2"/>
                    </w:pPr>
                    <w:r>
                      <w:t xml:space="preserve">—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7E888F"/>
    <w:multiLevelType w:val="singleLevel"/>
    <w:tmpl w:val="9A7E888F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F71DFED4"/>
    <w:multiLevelType w:val="singleLevel"/>
    <w:tmpl w:val="F71DFED4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027DB524"/>
    <w:multiLevelType w:val="singleLevel"/>
    <w:tmpl w:val="027DB524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170B32C1"/>
    <w:multiLevelType w:val="multilevel"/>
    <w:tmpl w:val="170B32C1"/>
    <w:lvl w:ilvl="0" w:tentative="0">
      <w:start w:val="1"/>
      <w:numFmt w:val="decimal"/>
      <w:pStyle w:val="2"/>
      <w:lvlText w:val="%1"/>
      <w:lvlJc w:val="left"/>
      <w:pPr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</w:lvl>
  </w:abstractNum>
  <w:abstractNum w:abstractNumId="4">
    <w:nsid w:val="2B632FA9"/>
    <w:multiLevelType w:val="singleLevel"/>
    <w:tmpl w:val="2B632FA9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7C1D28CB"/>
    <w:multiLevelType w:val="multilevel"/>
    <w:tmpl w:val="7C1D28CB"/>
    <w:lvl w:ilvl="0" w:tentative="0">
      <w:start w:val="1"/>
      <w:numFmt w:val="chineseCountingThousand"/>
      <w:lvlText w:val="%1、"/>
      <w:lvlJc w:val="left"/>
      <w:pPr>
        <w:ind w:left="432" w:hanging="432"/>
      </w:pPr>
    </w:lvl>
    <w:lvl w:ilvl="1" w:tentative="0">
      <w:start w:val="1"/>
      <w:numFmt w:val="decimal"/>
      <w:lvlText w:val="%1.%2"/>
      <w:lvlJc w:val="left"/>
      <w:pPr>
        <w:ind w:left="576" w:hanging="576"/>
      </w:pPr>
    </w:lvl>
    <w:lvl w:ilvl="2" w:tentative="0">
      <w:start w:val="1"/>
      <w:numFmt w:val="decimal"/>
      <w:lvlText w:val="%1.%2.%3"/>
      <w:lvlJc w:val="left"/>
      <w:pPr>
        <w:ind w:left="720" w:hanging="720"/>
      </w:pPr>
    </w:lvl>
    <w:lvl w:ilvl="3" w:tentative="0">
      <w:start w:val="1"/>
      <w:numFmt w:val="decimal"/>
      <w:lvlText w:val="%1.%2.%3.%4"/>
      <w:lvlJc w:val="left"/>
      <w:pPr>
        <w:ind w:left="864" w:hanging="864"/>
      </w:pPr>
    </w:lvl>
    <w:lvl w:ilvl="4" w:tentative="0">
      <w:start w:val="1"/>
      <w:numFmt w:val="decimal"/>
      <w:lvlText w:val="%1.%2.%3.%4.%5"/>
      <w:lvlJc w:val="left"/>
      <w:pPr>
        <w:ind w:left="1008" w:hanging="1008"/>
      </w:pPr>
    </w:lvl>
    <w:lvl w:ilvl="5" w:tentative="0">
      <w:start w:val="1"/>
      <w:numFmt w:val="decimal"/>
      <w:lvlText w:val="%1.%2.%3.%4.%5.%6"/>
      <w:lvlJc w:val="left"/>
      <w:pPr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E4NTg3ZWMwZGVmYTM0OTdkM2MwZWQ0OGNjNmE3NTkifQ=="/>
  </w:docVars>
  <w:rsids>
    <w:rsidRoot w:val="5CCF4A52"/>
    <w:rsid w:val="00045B2D"/>
    <w:rsid w:val="000549CE"/>
    <w:rsid w:val="00054EF7"/>
    <w:rsid w:val="00066F23"/>
    <w:rsid w:val="0009725A"/>
    <w:rsid w:val="000C78A2"/>
    <w:rsid w:val="000F0BB2"/>
    <w:rsid w:val="00116753"/>
    <w:rsid w:val="001470F9"/>
    <w:rsid w:val="00147A17"/>
    <w:rsid w:val="001E1238"/>
    <w:rsid w:val="0024341E"/>
    <w:rsid w:val="002F3A60"/>
    <w:rsid w:val="003017C0"/>
    <w:rsid w:val="003018C5"/>
    <w:rsid w:val="003614CC"/>
    <w:rsid w:val="00386E79"/>
    <w:rsid w:val="00393408"/>
    <w:rsid w:val="00405701"/>
    <w:rsid w:val="00483D2A"/>
    <w:rsid w:val="00487732"/>
    <w:rsid w:val="00497166"/>
    <w:rsid w:val="004A6E75"/>
    <w:rsid w:val="0050022F"/>
    <w:rsid w:val="00534547"/>
    <w:rsid w:val="005536D5"/>
    <w:rsid w:val="00553714"/>
    <w:rsid w:val="00557084"/>
    <w:rsid w:val="00583F79"/>
    <w:rsid w:val="005D33BA"/>
    <w:rsid w:val="005F0E2B"/>
    <w:rsid w:val="0060178D"/>
    <w:rsid w:val="00640016"/>
    <w:rsid w:val="0067046D"/>
    <w:rsid w:val="007346B8"/>
    <w:rsid w:val="0075246E"/>
    <w:rsid w:val="00787B7D"/>
    <w:rsid w:val="00796332"/>
    <w:rsid w:val="007A4987"/>
    <w:rsid w:val="007D67C8"/>
    <w:rsid w:val="0080109B"/>
    <w:rsid w:val="00816CEF"/>
    <w:rsid w:val="00830F2C"/>
    <w:rsid w:val="00853032"/>
    <w:rsid w:val="008A5886"/>
    <w:rsid w:val="008A5D39"/>
    <w:rsid w:val="00971D58"/>
    <w:rsid w:val="0098047C"/>
    <w:rsid w:val="009B63FE"/>
    <w:rsid w:val="009E1C4E"/>
    <w:rsid w:val="00A15EED"/>
    <w:rsid w:val="00A81F3D"/>
    <w:rsid w:val="00A84DA1"/>
    <w:rsid w:val="00B24D3D"/>
    <w:rsid w:val="00B81365"/>
    <w:rsid w:val="00B83DCC"/>
    <w:rsid w:val="00B94A8D"/>
    <w:rsid w:val="00BD257C"/>
    <w:rsid w:val="00BF24BD"/>
    <w:rsid w:val="00C6774B"/>
    <w:rsid w:val="00C8484A"/>
    <w:rsid w:val="00C96B0B"/>
    <w:rsid w:val="00C96E87"/>
    <w:rsid w:val="00D32560"/>
    <w:rsid w:val="00D65115"/>
    <w:rsid w:val="00D95EFE"/>
    <w:rsid w:val="00E447D1"/>
    <w:rsid w:val="00E45820"/>
    <w:rsid w:val="00E864F3"/>
    <w:rsid w:val="00F02585"/>
    <w:rsid w:val="00F32865"/>
    <w:rsid w:val="00F35537"/>
    <w:rsid w:val="00F52BD9"/>
    <w:rsid w:val="00F746C2"/>
    <w:rsid w:val="00FA3B56"/>
    <w:rsid w:val="00FB7525"/>
    <w:rsid w:val="00FD166B"/>
    <w:rsid w:val="00FE1C2B"/>
    <w:rsid w:val="04425C61"/>
    <w:rsid w:val="04583A5F"/>
    <w:rsid w:val="04EE164B"/>
    <w:rsid w:val="078903A8"/>
    <w:rsid w:val="07DD0884"/>
    <w:rsid w:val="0BAC41E4"/>
    <w:rsid w:val="0F437CC1"/>
    <w:rsid w:val="0F8120BC"/>
    <w:rsid w:val="10237E1F"/>
    <w:rsid w:val="102A2753"/>
    <w:rsid w:val="1198193E"/>
    <w:rsid w:val="188E5218"/>
    <w:rsid w:val="19DE4D9A"/>
    <w:rsid w:val="1CFF6AA9"/>
    <w:rsid w:val="1E336F00"/>
    <w:rsid w:val="1F9C4CF0"/>
    <w:rsid w:val="1FB86721"/>
    <w:rsid w:val="21DC7859"/>
    <w:rsid w:val="2661459D"/>
    <w:rsid w:val="26B77865"/>
    <w:rsid w:val="27C00F1F"/>
    <w:rsid w:val="292911DD"/>
    <w:rsid w:val="29E109C8"/>
    <w:rsid w:val="2A591BD4"/>
    <w:rsid w:val="2A8645D2"/>
    <w:rsid w:val="2AF70CBC"/>
    <w:rsid w:val="2C2C7711"/>
    <w:rsid w:val="2CB43679"/>
    <w:rsid w:val="2F945065"/>
    <w:rsid w:val="2FCD67FF"/>
    <w:rsid w:val="30574309"/>
    <w:rsid w:val="34B0413A"/>
    <w:rsid w:val="3500153B"/>
    <w:rsid w:val="358A766C"/>
    <w:rsid w:val="38107ADB"/>
    <w:rsid w:val="3A5E3E88"/>
    <w:rsid w:val="3A6164C2"/>
    <w:rsid w:val="3BC8525E"/>
    <w:rsid w:val="3D361E88"/>
    <w:rsid w:val="3DD976E8"/>
    <w:rsid w:val="3F740A45"/>
    <w:rsid w:val="3FA6622B"/>
    <w:rsid w:val="423F074E"/>
    <w:rsid w:val="43107D57"/>
    <w:rsid w:val="43C85E02"/>
    <w:rsid w:val="45CE0B30"/>
    <w:rsid w:val="46677AAA"/>
    <w:rsid w:val="468E72A4"/>
    <w:rsid w:val="4A7C0819"/>
    <w:rsid w:val="4C2B39A2"/>
    <w:rsid w:val="50492C68"/>
    <w:rsid w:val="53DB6E8D"/>
    <w:rsid w:val="54204587"/>
    <w:rsid w:val="569B5977"/>
    <w:rsid w:val="59A610CD"/>
    <w:rsid w:val="5A184789"/>
    <w:rsid w:val="5A4A4B2A"/>
    <w:rsid w:val="5A5B0BAA"/>
    <w:rsid w:val="5CCF4A52"/>
    <w:rsid w:val="5EC3653E"/>
    <w:rsid w:val="5FBF15B7"/>
    <w:rsid w:val="64C85A75"/>
    <w:rsid w:val="66D400CF"/>
    <w:rsid w:val="6B3D5B12"/>
    <w:rsid w:val="6B633598"/>
    <w:rsid w:val="6BEB20C5"/>
    <w:rsid w:val="6BEC7A32"/>
    <w:rsid w:val="6C2541E0"/>
    <w:rsid w:val="6D5B60A0"/>
    <w:rsid w:val="6EAA2E61"/>
    <w:rsid w:val="720F447A"/>
    <w:rsid w:val="73584B5D"/>
    <w:rsid w:val="742001FF"/>
    <w:rsid w:val="76595E91"/>
    <w:rsid w:val="76C267F5"/>
    <w:rsid w:val="76E86DB9"/>
    <w:rsid w:val="78196CA4"/>
    <w:rsid w:val="79445A43"/>
    <w:rsid w:val="7A321068"/>
    <w:rsid w:val="7A82285A"/>
    <w:rsid w:val="7A935BD1"/>
    <w:rsid w:val="7B612FB9"/>
    <w:rsid w:val="7C8767E6"/>
    <w:rsid w:val="7EB64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3"/>
    <w:unhideWhenUsed/>
    <w:qFormat/>
    <w:uiPriority w:val="0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0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1"/>
    <w:semiHidden/>
    <w:unhideWhenUsed/>
    <w:qFormat/>
    <w:uiPriority w:val="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4"/>
    <w:semiHidden/>
    <w:unhideWhenUsed/>
    <w:qFormat/>
    <w:uiPriority w:val="0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35"/>
    <w:semiHidden/>
    <w:unhideWhenUsed/>
    <w:qFormat/>
    <w:uiPriority w:val="0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</w:rPr>
  </w:style>
  <w:style w:type="paragraph" w:styleId="8">
    <w:name w:val="heading 7"/>
    <w:basedOn w:val="1"/>
    <w:next w:val="1"/>
    <w:link w:val="36"/>
    <w:semiHidden/>
    <w:unhideWhenUsed/>
    <w:qFormat/>
    <w:uiPriority w:val="0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37"/>
    <w:semiHidden/>
    <w:unhideWhenUsed/>
    <w:qFormat/>
    <w:uiPriority w:val="0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</w:rPr>
  </w:style>
  <w:style w:type="paragraph" w:styleId="10">
    <w:name w:val="heading 9"/>
    <w:basedOn w:val="1"/>
    <w:next w:val="1"/>
    <w:link w:val="38"/>
    <w:semiHidden/>
    <w:unhideWhenUsed/>
    <w:qFormat/>
    <w:uiPriority w:val="0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link w:val="32"/>
    <w:qFormat/>
    <w:uiPriority w:val="39"/>
    <w:pPr>
      <w:ind w:left="840" w:leftChars="400"/>
    </w:p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4">
    <w:name w:val="toc 1"/>
    <w:basedOn w:val="1"/>
    <w:next w:val="1"/>
    <w:qFormat/>
    <w:uiPriority w:val="39"/>
  </w:style>
  <w:style w:type="paragraph" w:styleId="15">
    <w:name w:val="toc 2"/>
    <w:basedOn w:val="1"/>
    <w:next w:val="1"/>
    <w:qFormat/>
    <w:uiPriority w:val="39"/>
    <w:pPr>
      <w:ind w:left="420" w:leftChars="200"/>
    </w:pPr>
  </w:style>
  <w:style w:type="table" w:styleId="17">
    <w:name w:val="Table Grid"/>
    <w:basedOn w:val="1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9">
    <w:name w:val="Emphasis"/>
    <w:basedOn w:val="18"/>
    <w:qFormat/>
    <w:uiPriority w:val="0"/>
    <w:rPr>
      <w:i/>
      <w:iCs/>
    </w:rPr>
  </w:style>
  <w:style w:type="character" w:styleId="20">
    <w:name w:val="Hyperlink"/>
    <w:basedOn w:val="18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21">
    <w:name w:val="标题 1 Char"/>
    <w:basedOn w:val="18"/>
    <w:link w:val="2"/>
    <w:qFormat/>
    <w:uiPriority w:val="0"/>
    <w:rPr>
      <w:b/>
      <w:bCs/>
      <w:kern w:val="44"/>
      <w:sz w:val="44"/>
      <w:szCs w:val="44"/>
    </w:rPr>
  </w:style>
  <w:style w:type="paragraph" w:styleId="22">
    <w:name w:val="List Paragraph"/>
    <w:basedOn w:val="1"/>
    <w:qFormat/>
    <w:uiPriority w:val="99"/>
    <w:pPr>
      <w:ind w:firstLine="420" w:firstLineChars="200"/>
    </w:pPr>
  </w:style>
  <w:style w:type="character" w:customStyle="1" w:styleId="23">
    <w:name w:val="标题 2 Char"/>
    <w:basedOn w:val="18"/>
    <w:link w:val="3"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  <w:style w:type="character" w:customStyle="1" w:styleId="24">
    <w:name w:val="标题 3 Char"/>
    <w:basedOn w:val="18"/>
    <w:link w:val="4"/>
    <w:qFormat/>
    <w:uiPriority w:val="0"/>
    <w:rPr>
      <w:b/>
      <w:bCs/>
      <w:kern w:val="2"/>
      <w:sz w:val="32"/>
      <w:szCs w:val="32"/>
    </w:rPr>
  </w:style>
  <w:style w:type="paragraph" w:customStyle="1" w:styleId="25">
    <w:name w:val="我的样式001"/>
    <w:basedOn w:val="4"/>
    <w:link w:val="26"/>
    <w:qFormat/>
    <w:uiPriority w:val="0"/>
  </w:style>
  <w:style w:type="character" w:customStyle="1" w:styleId="26">
    <w:name w:val="我的样式001 Char"/>
    <w:basedOn w:val="24"/>
    <w:link w:val="25"/>
    <w:qFormat/>
    <w:uiPriority w:val="0"/>
    <w:rPr>
      <w:kern w:val="2"/>
      <w:sz w:val="32"/>
      <w:szCs w:val="32"/>
    </w:rPr>
  </w:style>
  <w:style w:type="character" w:customStyle="1" w:styleId="27">
    <w:name w:val="明显强调1"/>
    <w:basedOn w:val="18"/>
    <w:qFormat/>
    <w:uiPriority w:val="21"/>
    <w:rPr>
      <w:i/>
      <w:iCs/>
      <w:color w:val="5B9BD5" w:themeColor="accent1"/>
      <w14:textFill>
        <w14:solidFill>
          <w14:schemeClr w14:val="accent1"/>
        </w14:solidFill>
      </w14:textFill>
    </w:rPr>
  </w:style>
  <w:style w:type="character" w:customStyle="1" w:styleId="28">
    <w:name w:val="不明显强调1"/>
    <w:basedOn w:val="18"/>
    <w:qFormat/>
    <w:uiPriority w:val="1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customStyle="1" w:styleId="29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0">
    <w:name w:val="我的001"/>
    <w:basedOn w:val="11"/>
    <w:link w:val="33"/>
    <w:qFormat/>
    <w:uiPriority w:val="0"/>
    <w:pPr>
      <w:tabs>
        <w:tab w:val="right" w:leader="dot" w:pos="8296"/>
      </w:tabs>
    </w:pPr>
  </w:style>
  <w:style w:type="character" w:customStyle="1" w:styleId="31">
    <w:name w:val="标题 4 Char"/>
    <w:basedOn w:val="18"/>
    <w:link w:val="5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32">
    <w:name w:val="目录 3 Char"/>
    <w:basedOn w:val="18"/>
    <w:link w:val="11"/>
    <w:qFormat/>
    <w:uiPriority w:val="39"/>
    <w:rPr>
      <w:kern w:val="2"/>
      <w:sz w:val="21"/>
      <w:szCs w:val="24"/>
    </w:rPr>
  </w:style>
  <w:style w:type="character" w:customStyle="1" w:styleId="33">
    <w:name w:val="我的001 Char"/>
    <w:basedOn w:val="32"/>
    <w:link w:val="30"/>
    <w:qFormat/>
    <w:uiPriority w:val="0"/>
    <w:rPr>
      <w:kern w:val="2"/>
      <w:sz w:val="21"/>
      <w:szCs w:val="24"/>
    </w:rPr>
  </w:style>
  <w:style w:type="character" w:customStyle="1" w:styleId="34">
    <w:name w:val="标题 5 Char"/>
    <w:basedOn w:val="18"/>
    <w:link w:val="6"/>
    <w:semiHidden/>
    <w:qFormat/>
    <w:uiPriority w:val="0"/>
    <w:rPr>
      <w:b/>
      <w:bCs/>
      <w:kern w:val="2"/>
      <w:sz w:val="28"/>
      <w:szCs w:val="28"/>
    </w:rPr>
  </w:style>
  <w:style w:type="character" w:customStyle="1" w:styleId="35">
    <w:name w:val="标题 6 Char"/>
    <w:basedOn w:val="18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  <w:style w:type="character" w:customStyle="1" w:styleId="36">
    <w:name w:val="标题 7 Char"/>
    <w:basedOn w:val="18"/>
    <w:link w:val="8"/>
    <w:semiHidden/>
    <w:qFormat/>
    <w:uiPriority w:val="0"/>
    <w:rPr>
      <w:b/>
      <w:bCs/>
      <w:kern w:val="2"/>
      <w:sz w:val="24"/>
      <w:szCs w:val="24"/>
    </w:rPr>
  </w:style>
  <w:style w:type="character" w:customStyle="1" w:styleId="37">
    <w:name w:val="标题 8 Char"/>
    <w:basedOn w:val="18"/>
    <w:link w:val="9"/>
    <w:semiHidden/>
    <w:qFormat/>
    <w:uiPriority w:val="0"/>
    <w:rPr>
      <w:rFonts w:asciiTheme="majorHAnsi" w:hAnsiTheme="majorHAnsi" w:eastAsiaTheme="majorEastAsia" w:cstheme="majorBidi"/>
      <w:kern w:val="2"/>
      <w:sz w:val="24"/>
      <w:szCs w:val="24"/>
    </w:rPr>
  </w:style>
  <w:style w:type="character" w:customStyle="1" w:styleId="38">
    <w:name w:val="标题 9 Char"/>
    <w:basedOn w:val="18"/>
    <w:link w:val="10"/>
    <w:semiHidden/>
    <w:qFormat/>
    <w:uiPriority w:val="0"/>
    <w:rPr>
      <w:rFonts w:asciiTheme="majorHAnsi" w:hAnsiTheme="majorHAnsi" w:eastAsiaTheme="majorEastAsia" w:cstheme="majorBidi"/>
      <w:kern w:val="2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27A794C-43A7-4FD9-8FDC-B847AF21EC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1778</Words>
  <Characters>1862</Characters>
  <Lines>22</Lines>
  <Paragraphs>6</Paragraphs>
  <TotalTime>0</TotalTime>
  <ScaleCrop>false</ScaleCrop>
  <LinksUpToDate>false</LinksUpToDate>
  <CharactersWithSpaces>2069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2022-07-04T00:03:00Z</dcterms:created>
  <dc:creator>Administrator</dc:creator>
  <cp:lastModifiedBy>ぺ橘子汽水</cp:lastModifiedBy>
  <dcterms:modified xsi:type="dcterms:W3CDTF">2022-10-11T01:49:48Z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D516880A241E4007942325BDE9E9DA23</vt:lpwstr>
  </property>
</Properties>
</file>